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DFD" w:rsidRPr="007E30D4" w:rsidRDefault="00765DFD" w:rsidP="00765DFD">
      <w:pPr>
        <w:tabs>
          <w:tab w:val="left" w:pos="947"/>
        </w:tabs>
        <w:spacing w:before="7" w:line="360" w:lineRule="auto"/>
        <w:ind w:right="590"/>
        <w:rPr>
          <w:rFonts w:ascii="Verdana" w:hAnsi="Verdana"/>
          <w:sz w:val="20"/>
          <w:szCs w:val="20"/>
        </w:rPr>
      </w:pPr>
    </w:p>
    <w:p w:rsidR="007F345D" w:rsidRPr="007E30D4" w:rsidRDefault="00334F3A" w:rsidP="003D61BD">
      <w:pPr>
        <w:spacing w:after="60"/>
        <w:jc w:val="both"/>
        <w:rPr>
          <w:rFonts w:ascii="Verdana" w:hAnsi="Verdana"/>
          <w:sz w:val="20"/>
          <w:szCs w:val="20"/>
        </w:rPr>
      </w:pPr>
      <w:r w:rsidRPr="007E30D4">
        <w:rPr>
          <w:rFonts w:ascii="Verdana" w:hAnsi="Verdana"/>
          <w:b/>
          <w:sz w:val="19"/>
          <w:szCs w:val="20"/>
        </w:rPr>
        <w:t>INFORMATIVA SUL TRAT</w:t>
      </w:r>
      <w:bookmarkStart w:id="0" w:name="_GoBack"/>
      <w:bookmarkEnd w:id="0"/>
      <w:r w:rsidRPr="007E30D4">
        <w:rPr>
          <w:rFonts w:ascii="Verdana" w:hAnsi="Verdana"/>
          <w:b/>
          <w:sz w:val="19"/>
          <w:szCs w:val="20"/>
        </w:rPr>
        <w:t>TAMENTO DEI DATI PERSONALI</w:t>
      </w:r>
    </w:p>
    <w:p w:rsidR="007F345D" w:rsidRPr="007E30D4" w:rsidRDefault="00334F3A" w:rsidP="003D61BD">
      <w:pPr>
        <w:spacing w:after="60"/>
        <w:jc w:val="both"/>
        <w:rPr>
          <w:rFonts w:ascii="Verdana" w:hAnsi="Verdana"/>
          <w:sz w:val="20"/>
          <w:szCs w:val="20"/>
        </w:rPr>
      </w:pPr>
      <w:r w:rsidRPr="007E30D4">
        <w:rPr>
          <w:rFonts w:ascii="Verdana" w:hAnsi="Verdana"/>
          <w:sz w:val="18"/>
          <w:szCs w:val="20"/>
        </w:rPr>
        <w:t>ai sensi degli artt. 13 e 14 del Regolamento (UE) 2016/679 (GDPR)</w:t>
      </w:r>
      <w:r w:rsidR="00890A7D" w:rsidRPr="007E30D4">
        <w:rPr>
          <w:rFonts w:ascii="Verdana" w:hAnsi="Verdana"/>
          <w:sz w:val="18"/>
          <w:szCs w:val="20"/>
        </w:rPr>
        <w:t xml:space="preserve"> </w:t>
      </w:r>
    </w:p>
    <w:p w:rsidR="007F345D" w:rsidRPr="007E30D4" w:rsidRDefault="00334F3A" w:rsidP="003D61BD">
      <w:pPr>
        <w:spacing w:after="60"/>
        <w:jc w:val="both"/>
        <w:rPr>
          <w:rFonts w:ascii="Verdana" w:hAnsi="Verdana"/>
          <w:sz w:val="20"/>
          <w:szCs w:val="20"/>
        </w:rPr>
      </w:pPr>
      <w:r w:rsidRPr="007E30D4">
        <w:rPr>
          <w:rFonts w:ascii="Verdana" w:hAnsi="Verdana"/>
          <w:b/>
          <w:sz w:val="18"/>
          <w:szCs w:val="20"/>
        </w:rPr>
        <w:t xml:space="preserve">Procedimento: </w:t>
      </w:r>
      <w:r w:rsidR="00890A7D" w:rsidRPr="007E30D4">
        <w:rPr>
          <w:rFonts w:ascii="Verdana" w:hAnsi="Verdana"/>
          <w:sz w:val="18"/>
          <w:szCs w:val="20"/>
        </w:rPr>
        <w:t xml:space="preserve">BANDO PUBBLICO A SPORTELLO APERTO PER L'EROGAZIONE DI CONTRIBUTI A BENEFICIO DEI PRIVATI PER INTERVENTI DI BONIFICA DI MANUFATTI CONTENENTI AMIANTO ESISTENTI SUL TERRITORIO DELLA PROVINCIA DEL MEDIO CAMPIDANO – ANNO 2026. </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1. Titolare del trattamento</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Il Titolare del trattamento è la Provincia del Medio Campidano, con sede in Via Paganini n. 22, 09025 Sanluri (SU), C.F. 91031610925, PEC: protocollo@cert.provincia.mediocampidano.it.</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2. Responsabile della protezione dei dati (RPD/DPO)</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La Provincia ha designato quale RPD/DPO la società Nicola Zuddas S.r.l., referente Avv. Ivan Orrù. Il RPD/DPO può essere contattato all’indirizzo e-mail privacy@comune.it, alla PEC privacy@pec.comune.it, oppure tramite i recapiti del Titolare sopra indicati. I recapiti aggiornati sono pubblicati anche nella sezione “Privacy” del sito istituzionale: https://www.provincia.mediocampidano.it/it/privacy.</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3. Finalità del trattamento e basi giuridiche</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I dati personali sono trattati per ricevere, protocollare e istruire le domande; verificare requisiti, dichiarazioni e documentazione; formare e adottare i provvedimenti di ammissione, concessione, esclusione, decadenza o revoca; effettuare controlli e sopralluoghi; gestire la rendicontazione e la liquidazione del contributo; adempiere agli obblighi di trasparenza, pubblicità, archiviazione, conservazione, controllo contabile e prevenzione di illeciti. Le basi giuridiche sono l’adempimento di obblighi legali cui è soggetto il Titolare e l’esecuzione di compiti di interesse pubblico o connessi all’esercizio di pubblici poteri, ai sensi dell’art. 6, par. 1, lett. c) ed e), GDPR, nonché della normativa nazionale e regionale applicabile al procedimento. Il trattamento non si fonda sul consenso.</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4. Categorie di dati trattati</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Possono essere trattati dati identificativi e di contatto del richiedente, dei proprietari o comproprietari, del legale rappresentante e dell’eventuale referente o tecnico delegato; dati relativi alla titolarità o disponibilità dell’immobile e dati catastali; dati tecnici, amministrativi, economici e contabili necessari alla domanda, all’istruttoria, ai controlli, alla rendicontazione e alla liquidazione; documenti di identità, dichiarazioni sostitutive, procure o deleghe; documentazione fotografica pertinente all’intervento. Le coordinate IBAN sono raccolte soltanto dopo la concessione e prima della liquidazione.</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5. Natura del conferimento</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Il conferimento dei dati richiesti è obbligatorio quando necessario per la presentazione, l’istruttoria e la gestione della domanda o per l’adempimento di obblighi di legge. Il mancato conferimento dei dati necessari può comportare l’impossibilità di istruire la domanda, concedere o liquidare il contributo. Non sono richiesti dati ulteriori rispetto a quelli pertinenti e necessari al procedimento.</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6. Modalità del trattamento e soggetti autorizzati</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Il trattamento è effettuato con strumenti cartacei e informatici, nel rispetto dei principi di liceità, correttezza, trasparenza, minimizzazione, esattezza, limitazione della conservazione, integrità e riservatezza. I dati sono trattati dal personale e dai collaboratori autorizzati della Provincia, nei limiti delle rispettive competenze.</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7. Destinatari e categorie di destinatari</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I dati possono essere comunicati, nei limiti necessari, ad amministrazioni ed enti pubblici competenti per legge o coinvolti nei controlli; autorità giudiziarie e organi di controllo; istituti di tesoreria e soggetti coinvolti nei pagamenti; fornitori di servizi informatici, protocollo, conservazione documentale e assistenza tecnica nominati, ove necessario, responsabili del trattamento ai sensi dell’art. 28 GDPR; nonché all’eventuale professionista o affidatario esterno incaricato dell’istruttoria, formalmente designato responsabile del trattamento ai sensi dell’art. 28 GDPR e vincolato alle istruzioni della Provincia. I dati non sono diffusi al di fuori dei casi espressamente previsti dalla legge.</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8. Trasferimenti verso Paesi terzi o organizzazioni internazionali</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La Provincia non intende trasferire i dati personali verso Paesi terzi o organizzazioni internazionali. Qualora, per specifici servizi informatici, si rendesse necessario un trasferimento, esso potrà avvenire esclusivamente nel rispetto degli artt. 44 e seguenti del GDPR e previa verifica delle garanzie applicabili.</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9. Conservazione dei dati</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I dati e i documenti del procedimento sono conservati per il tempo necessario alla gestione della domanda, all’erogazione e ai controlli sul contributo e, successivamente, secondo i termini previsti dalla normativa in materia di documentazione amministrativa, contabilità pubblica, controlli, prescrizione, archiviazione e conservazione documentale, nonché dal piano di conservazione dell’Ente. I dati pubblicati per obbligo di legge restano online per il periodo previsto dalla normativa sulla trasparenza.</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lastRenderedPageBreak/>
        <w:t>10. Pubblicazioni obbligatorie</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Gli obblighi di pubblicazione nominativa previsti dagli artt. 26 e 27 del D.Lgs. 33/2013 sono assolti, nei casi e oltre le soglie previste dalla legge, con riferimento agli atti definitivi di concessione nella sezione “Amministrazione trasparente”, fermi restando i divieti e i limiti previsti dall’art. 26, comma 4, del medesimo decreto e dalla normativa in materia di protezione dei dati personali. Per eventuali elenchi procedimentali o comunicazioni intermedie è utilizzato il codice identificativo della pratica. Negli atti pubblicati non sono riportati indirizzi, dati catastali, codici fiscali, IBAN, fotografie o altri dati non necessari.</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11. Dati raccolti presso soggetti diversi dall’interessato</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Ai sensi dell’art. 14 GDPR, la Provincia può acquisire dati e informazioni dal richiedente, dal suo procuratore o referente, dal tecnico incaricato, da altre amministrazioni, enti pubblici, banche dati accessibili per legge, soggetti competenti al rilascio di pareri, nulla osta o attestazioni e altri soggetti coinvolti nei controlli, esclusivamente per le finalità del procedimento e nei limiti consentiti dalla normativa. La presente informativa è resa anche ai proprietari, comproprietari, tecnici, referenti e agli altri interessati i cui dati siano contenuti nella domanda o nei relativi allegati. Il richiedente o il soggetto che comunica tali dati è invitato a rendere loro disponibile l’informativa, comunque pubblicata sul sito istituzionale della Provincia.</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12. Processi decisionali automatizzati</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Non sono adottate decisioni basate unicamente su trattamenti automatizzati, compresa la profilazione, che producano effetti giuridici o incidano in modo analogo significativamente sugli interessati.</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13. Diritti degli interessati</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Nei casi previsti dal GDPR, l’interessato può esercitare il diritto di accesso ai dati personali (art. 15), di rettifica (art. 16), di limitazione del trattamento (art. 18) e di opposizione, per motivi connessi alla propria situazione particolare, nei casi previsti dall’art. 21. Il diritto alla cancellazione e il diritto alla portabilità si applicano soltanto quando ne ricorrono i presupposti di legge e possono essere limitati o esclusi per i trattamenti necessari all’adempimento di obblighi legali o all’esecuzione di compiti di interesse pubblico. Le richieste possono essere presentate al Titolare mediante PEC all’indirizzo protocollo@cert.provincia.mediocampidano.it o mediante comunicazione alla sede dell’Ente; il RPD/DPO è contattabile ai recapiti indicati al punto 2.</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14. Diritto di reclamo</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L’interessato che ritenga che il trattamento dei propri dati personali avvenga in violazione del GDPR ha diritto di proporre reclamo al Garante per la protezione dei dati personali, secondo le modalità indicate dall’Autorità di controllo, fatto salvo ogni altro ricorso amministrativo o giurisdizionale.</w:t>
      </w:r>
    </w:p>
    <w:sectPr w:rsidR="007F345D" w:rsidRPr="007E30D4" w:rsidSect="003D61BD">
      <w:headerReference w:type="default" r:id="rId7"/>
      <w:footerReference w:type="default" r:id="rId8"/>
      <w:pgSz w:w="11910" w:h="16840"/>
      <w:pgMar w:top="851" w:right="1134" w:bottom="851" w:left="1134" w:header="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776" w:rsidRDefault="00FE6776">
      <w:r>
        <w:separator/>
      </w:r>
    </w:p>
  </w:endnote>
  <w:endnote w:type="continuationSeparator" w:id="0">
    <w:p w:rsidR="00FE6776" w:rsidRDefault="00FE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130256"/>
      <w:docPartObj>
        <w:docPartGallery w:val="Page Numbers (Bottom of Page)"/>
        <w:docPartUnique/>
      </w:docPartObj>
    </w:sdtPr>
    <w:sdtEndPr/>
    <w:sdtContent>
      <w:p w:rsidR="003D61BD" w:rsidRDefault="003D61BD">
        <w:pPr>
          <w:pStyle w:val="Pidipagina"/>
          <w:jc w:val="center"/>
        </w:pPr>
        <w:r>
          <w:fldChar w:fldCharType="begin"/>
        </w:r>
        <w:r>
          <w:instrText>PAGE   \* MERGEFORMAT</w:instrText>
        </w:r>
        <w:r>
          <w:fldChar w:fldCharType="separate"/>
        </w:r>
        <w:r>
          <w:t>2</w:t>
        </w:r>
        <w:r>
          <w:fldChar w:fldCharType="end"/>
        </w:r>
      </w:p>
    </w:sdtContent>
  </w:sdt>
  <w:p w:rsidR="00567A7F" w:rsidRDefault="00567A7F">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776" w:rsidRDefault="00FE6776">
      <w:r>
        <w:separator/>
      </w:r>
    </w:p>
  </w:footnote>
  <w:footnote w:type="continuationSeparator" w:id="0">
    <w:p w:rsidR="00FE6776" w:rsidRDefault="00FE6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665" w:rsidRDefault="00022665" w:rsidP="00022665">
    <w:pPr>
      <w:pStyle w:val="Titolo"/>
      <w:ind w:left="0"/>
      <w:rPr>
        <w:color w:val="1F497D" w:themeColor="text2"/>
      </w:rPr>
    </w:pPr>
    <w:bookmarkStart w:id="1" w:name="_Hlk234395745"/>
  </w:p>
  <w:p w:rsidR="00022665" w:rsidRDefault="00022665" w:rsidP="00022665">
    <w:pPr>
      <w:pStyle w:val="Titolo"/>
      <w:ind w:left="0"/>
      <w:rPr>
        <w:color w:val="1F497D" w:themeColor="text2"/>
      </w:rPr>
    </w:pPr>
    <w:r>
      <w:rPr>
        <w:noProof/>
        <w:color w:val="1F497D" w:themeColor="text2"/>
      </w:rPr>
      <w:drawing>
        <wp:inline distT="0" distB="0" distL="0" distR="0" wp14:anchorId="2506AF06" wp14:editId="0C7549F5">
          <wp:extent cx="973455" cy="466725"/>
          <wp:effectExtent l="0" t="0" r="0" b="952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MA NUOVO.png"/>
                  <pic:cNvPicPr/>
                </pic:nvPicPr>
                <pic:blipFill>
                  <a:blip r:embed="rId1">
                    <a:extLst>
                      <a:ext uri="{28A0092B-C50C-407E-A947-70E740481C1C}">
                        <a14:useLocalDpi xmlns:a14="http://schemas.microsoft.com/office/drawing/2010/main" val="0"/>
                      </a:ext>
                    </a:extLst>
                  </a:blip>
                  <a:stretch>
                    <a:fillRect/>
                  </a:stretch>
                </pic:blipFill>
                <pic:spPr>
                  <a:xfrm>
                    <a:off x="0" y="0"/>
                    <a:ext cx="1024707" cy="491298"/>
                  </a:xfrm>
                  <a:prstGeom prst="rect">
                    <a:avLst/>
                  </a:prstGeom>
                </pic:spPr>
              </pic:pic>
            </a:graphicData>
          </a:graphic>
        </wp:inline>
      </w:drawing>
    </w:r>
  </w:p>
  <w:p w:rsidR="00022665" w:rsidRPr="002F09B5" w:rsidRDefault="00022665" w:rsidP="00022665">
    <w:pPr>
      <w:pStyle w:val="Titolo"/>
      <w:ind w:left="0"/>
      <w:rPr>
        <w:color w:val="1F497D" w:themeColor="text2"/>
        <w:sz w:val="32"/>
        <w:szCs w:val="32"/>
      </w:rPr>
    </w:pPr>
    <w:r w:rsidRPr="002F09B5">
      <w:rPr>
        <w:color w:val="1F497D" w:themeColor="text2"/>
        <w:sz w:val="32"/>
        <w:szCs w:val="32"/>
      </w:rPr>
      <w:t xml:space="preserve">PROVINCIA DEL </w:t>
    </w:r>
    <w:r w:rsidRPr="00DA7A43">
      <w:rPr>
        <w:color w:val="1F497D" w:themeColor="text2"/>
        <w:sz w:val="32"/>
        <w:szCs w:val="32"/>
      </w:rPr>
      <w:t>MEDIO</w:t>
    </w:r>
    <w:r w:rsidRPr="002F09B5">
      <w:rPr>
        <w:color w:val="1F497D" w:themeColor="text2"/>
        <w:sz w:val="32"/>
        <w:szCs w:val="32"/>
      </w:rPr>
      <w:t xml:space="preserve"> CAMPIDANO</w:t>
    </w:r>
  </w:p>
  <w:bookmarkEnd w:id="1"/>
  <w:p w:rsidR="00022665" w:rsidRPr="00022665" w:rsidRDefault="00022665" w:rsidP="0002266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9C4"/>
    <w:multiLevelType w:val="hybridMultilevel"/>
    <w:tmpl w:val="D8AA6CC4"/>
    <w:lvl w:ilvl="0" w:tplc="14B4C570">
      <w:numFmt w:val="bullet"/>
      <w:lvlText w:val="-"/>
      <w:lvlJc w:val="left"/>
      <w:pPr>
        <w:ind w:left="1397" w:hanging="360"/>
      </w:pPr>
      <w:rPr>
        <w:rFonts w:ascii="Arial MT" w:eastAsia="Arial MT" w:hAnsi="Arial MT" w:cs="Arial MT" w:hint="default"/>
        <w:w w:val="100"/>
        <w:sz w:val="20"/>
        <w:szCs w:val="20"/>
        <w:lang w:val="it-IT" w:eastAsia="en-US" w:bidi="ar-SA"/>
      </w:rPr>
    </w:lvl>
    <w:lvl w:ilvl="1" w:tplc="F7F2B5E2">
      <w:numFmt w:val="bullet"/>
      <w:lvlText w:val="•"/>
      <w:lvlJc w:val="left"/>
      <w:pPr>
        <w:ind w:left="2380" w:hanging="360"/>
      </w:pPr>
      <w:rPr>
        <w:rFonts w:hint="default"/>
        <w:lang w:val="it-IT" w:eastAsia="en-US" w:bidi="ar-SA"/>
      </w:rPr>
    </w:lvl>
    <w:lvl w:ilvl="2" w:tplc="34AAAABC">
      <w:numFmt w:val="bullet"/>
      <w:lvlText w:val="•"/>
      <w:lvlJc w:val="left"/>
      <w:pPr>
        <w:ind w:left="3360" w:hanging="360"/>
      </w:pPr>
      <w:rPr>
        <w:rFonts w:hint="default"/>
        <w:lang w:val="it-IT" w:eastAsia="en-US" w:bidi="ar-SA"/>
      </w:rPr>
    </w:lvl>
    <w:lvl w:ilvl="3" w:tplc="7D80F56C">
      <w:numFmt w:val="bullet"/>
      <w:lvlText w:val="•"/>
      <w:lvlJc w:val="left"/>
      <w:pPr>
        <w:ind w:left="4341" w:hanging="360"/>
      </w:pPr>
      <w:rPr>
        <w:rFonts w:hint="default"/>
        <w:lang w:val="it-IT" w:eastAsia="en-US" w:bidi="ar-SA"/>
      </w:rPr>
    </w:lvl>
    <w:lvl w:ilvl="4" w:tplc="D8ACC2A6">
      <w:numFmt w:val="bullet"/>
      <w:lvlText w:val="•"/>
      <w:lvlJc w:val="left"/>
      <w:pPr>
        <w:ind w:left="5321" w:hanging="360"/>
      </w:pPr>
      <w:rPr>
        <w:rFonts w:hint="default"/>
        <w:lang w:val="it-IT" w:eastAsia="en-US" w:bidi="ar-SA"/>
      </w:rPr>
    </w:lvl>
    <w:lvl w:ilvl="5" w:tplc="FD006DBC">
      <w:numFmt w:val="bullet"/>
      <w:lvlText w:val="•"/>
      <w:lvlJc w:val="left"/>
      <w:pPr>
        <w:ind w:left="6302" w:hanging="360"/>
      </w:pPr>
      <w:rPr>
        <w:rFonts w:hint="default"/>
        <w:lang w:val="it-IT" w:eastAsia="en-US" w:bidi="ar-SA"/>
      </w:rPr>
    </w:lvl>
    <w:lvl w:ilvl="6" w:tplc="48CE7E78">
      <w:numFmt w:val="bullet"/>
      <w:lvlText w:val="•"/>
      <w:lvlJc w:val="left"/>
      <w:pPr>
        <w:ind w:left="7282" w:hanging="360"/>
      </w:pPr>
      <w:rPr>
        <w:rFonts w:hint="default"/>
        <w:lang w:val="it-IT" w:eastAsia="en-US" w:bidi="ar-SA"/>
      </w:rPr>
    </w:lvl>
    <w:lvl w:ilvl="7" w:tplc="42A655AE">
      <w:numFmt w:val="bullet"/>
      <w:lvlText w:val="•"/>
      <w:lvlJc w:val="left"/>
      <w:pPr>
        <w:ind w:left="8262" w:hanging="360"/>
      </w:pPr>
      <w:rPr>
        <w:rFonts w:hint="default"/>
        <w:lang w:val="it-IT" w:eastAsia="en-US" w:bidi="ar-SA"/>
      </w:rPr>
    </w:lvl>
    <w:lvl w:ilvl="8" w:tplc="58C26A32">
      <w:numFmt w:val="bullet"/>
      <w:lvlText w:val="•"/>
      <w:lvlJc w:val="left"/>
      <w:pPr>
        <w:ind w:left="9243" w:hanging="360"/>
      </w:pPr>
      <w:rPr>
        <w:rFonts w:hint="default"/>
        <w:lang w:val="it-IT" w:eastAsia="en-US" w:bidi="ar-SA"/>
      </w:rPr>
    </w:lvl>
  </w:abstractNum>
  <w:abstractNum w:abstractNumId="1" w15:restartNumberingAfterBreak="0">
    <w:nsid w:val="0E7A0612"/>
    <w:multiLevelType w:val="hybridMultilevel"/>
    <w:tmpl w:val="8AE058B4"/>
    <w:lvl w:ilvl="0" w:tplc="D8028090">
      <w:start w:val="5"/>
      <w:numFmt w:val="bullet"/>
      <w:lvlText w:val=""/>
      <w:lvlJc w:val="left"/>
      <w:pPr>
        <w:ind w:left="1037" w:hanging="360"/>
      </w:pPr>
      <w:rPr>
        <w:rFonts w:ascii="Symbol" w:eastAsia="Arial MT" w:hAnsi="Symbol" w:cs="Arial MT" w:hint="default"/>
      </w:rPr>
    </w:lvl>
    <w:lvl w:ilvl="1" w:tplc="04100003" w:tentative="1">
      <w:start w:val="1"/>
      <w:numFmt w:val="bullet"/>
      <w:lvlText w:val="o"/>
      <w:lvlJc w:val="left"/>
      <w:pPr>
        <w:ind w:left="1757" w:hanging="360"/>
      </w:pPr>
      <w:rPr>
        <w:rFonts w:ascii="Courier New" w:hAnsi="Courier New" w:cs="Courier New" w:hint="default"/>
      </w:rPr>
    </w:lvl>
    <w:lvl w:ilvl="2" w:tplc="04100005" w:tentative="1">
      <w:start w:val="1"/>
      <w:numFmt w:val="bullet"/>
      <w:lvlText w:val=""/>
      <w:lvlJc w:val="left"/>
      <w:pPr>
        <w:ind w:left="2477" w:hanging="360"/>
      </w:pPr>
      <w:rPr>
        <w:rFonts w:ascii="Wingdings" w:hAnsi="Wingdings" w:hint="default"/>
      </w:rPr>
    </w:lvl>
    <w:lvl w:ilvl="3" w:tplc="04100001" w:tentative="1">
      <w:start w:val="1"/>
      <w:numFmt w:val="bullet"/>
      <w:lvlText w:val=""/>
      <w:lvlJc w:val="left"/>
      <w:pPr>
        <w:ind w:left="3197" w:hanging="360"/>
      </w:pPr>
      <w:rPr>
        <w:rFonts w:ascii="Symbol" w:hAnsi="Symbol" w:hint="default"/>
      </w:rPr>
    </w:lvl>
    <w:lvl w:ilvl="4" w:tplc="04100003" w:tentative="1">
      <w:start w:val="1"/>
      <w:numFmt w:val="bullet"/>
      <w:lvlText w:val="o"/>
      <w:lvlJc w:val="left"/>
      <w:pPr>
        <w:ind w:left="3917" w:hanging="360"/>
      </w:pPr>
      <w:rPr>
        <w:rFonts w:ascii="Courier New" w:hAnsi="Courier New" w:cs="Courier New" w:hint="default"/>
      </w:rPr>
    </w:lvl>
    <w:lvl w:ilvl="5" w:tplc="04100005" w:tentative="1">
      <w:start w:val="1"/>
      <w:numFmt w:val="bullet"/>
      <w:lvlText w:val=""/>
      <w:lvlJc w:val="left"/>
      <w:pPr>
        <w:ind w:left="4637" w:hanging="360"/>
      </w:pPr>
      <w:rPr>
        <w:rFonts w:ascii="Wingdings" w:hAnsi="Wingdings" w:hint="default"/>
      </w:rPr>
    </w:lvl>
    <w:lvl w:ilvl="6" w:tplc="04100001" w:tentative="1">
      <w:start w:val="1"/>
      <w:numFmt w:val="bullet"/>
      <w:lvlText w:val=""/>
      <w:lvlJc w:val="left"/>
      <w:pPr>
        <w:ind w:left="5357" w:hanging="360"/>
      </w:pPr>
      <w:rPr>
        <w:rFonts w:ascii="Symbol" w:hAnsi="Symbol" w:hint="default"/>
      </w:rPr>
    </w:lvl>
    <w:lvl w:ilvl="7" w:tplc="04100003" w:tentative="1">
      <w:start w:val="1"/>
      <w:numFmt w:val="bullet"/>
      <w:lvlText w:val="o"/>
      <w:lvlJc w:val="left"/>
      <w:pPr>
        <w:ind w:left="6077" w:hanging="360"/>
      </w:pPr>
      <w:rPr>
        <w:rFonts w:ascii="Courier New" w:hAnsi="Courier New" w:cs="Courier New" w:hint="default"/>
      </w:rPr>
    </w:lvl>
    <w:lvl w:ilvl="8" w:tplc="04100005" w:tentative="1">
      <w:start w:val="1"/>
      <w:numFmt w:val="bullet"/>
      <w:lvlText w:val=""/>
      <w:lvlJc w:val="left"/>
      <w:pPr>
        <w:ind w:left="6797" w:hanging="360"/>
      </w:pPr>
      <w:rPr>
        <w:rFonts w:ascii="Wingdings" w:hAnsi="Wingdings" w:hint="default"/>
      </w:rPr>
    </w:lvl>
  </w:abstractNum>
  <w:abstractNum w:abstractNumId="2" w15:restartNumberingAfterBreak="0">
    <w:nsid w:val="13DF11F9"/>
    <w:multiLevelType w:val="hybridMultilevel"/>
    <w:tmpl w:val="6D04954E"/>
    <w:lvl w:ilvl="0" w:tplc="47A8614E">
      <w:start w:val="1"/>
      <w:numFmt w:val="decimal"/>
      <w:lvlText w:val="(%1)"/>
      <w:lvlJc w:val="left"/>
      <w:pPr>
        <w:ind w:left="946" w:hanging="269"/>
      </w:pPr>
      <w:rPr>
        <w:rFonts w:hint="default"/>
        <w:b/>
        <w:bCs/>
        <w:spacing w:val="-4"/>
        <w:w w:val="101"/>
        <w:lang w:val="it-IT" w:eastAsia="en-US" w:bidi="ar-SA"/>
      </w:rPr>
    </w:lvl>
    <w:lvl w:ilvl="1" w:tplc="42866306">
      <w:start w:val="1"/>
      <w:numFmt w:val="decimal"/>
      <w:lvlText w:val="%2."/>
      <w:lvlJc w:val="left"/>
      <w:pPr>
        <w:ind w:left="1397" w:hanging="360"/>
      </w:pPr>
      <w:rPr>
        <w:rFonts w:hint="default"/>
        <w:b/>
        <w:bCs/>
        <w:w w:val="100"/>
        <w:lang w:val="it-IT" w:eastAsia="en-US" w:bidi="ar-SA"/>
      </w:rPr>
    </w:lvl>
    <w:lvl w:ilvl="2" w:tplc="3F2CEE44">
      <w:numFmt w:val="bullet"/>
      <w:lvlText w:val="•"/>
      <w:lvlJc w:val="left"/>
      <w:pPr>
        <w:ind w:left="1540" w:hanging="360"/>
      </w:pPr>
      <w:rPr>
        <w:rFonts w:hint="default"/>
        <w:lang w:val="it-IT" w:eastAsia="en-US" w:bidi="ar-SA"/>
      </w:rPr>
    </w:lvl>
    <w:lvl w:ilvl="3" w:tplc="60BEBF1C">
      <w:numFmt w:val="bullet"/>
      <w:lvlText w:val="•"/>
      <w:lvlJc w:val="left"/>
      <w:pPr>
        <w:ind w:left="2748" w:hanging="360"/>
      </w:pPr>
      <w:rPr>
        <w:rFonts w:hint="default"/>
        <w:lang w:val="it-IT" w:eastAsia="en-US" w:bidi="ar-SA"/>
      </w:rPr>
    </w:lvl>
    <w:lvl w:ilvl="4" w:tplc="089C8BCC">
      <w:numFmt w:val="bullet"/>
      <w:lvlText w:val="•"/>
      <w:lvlJc w:val="left"/>
      <w:pPr>
        <w:ind w:left="3956" w:hanging="360"/>
      </w:pPr>
      <w:rPr>
        <w:rFonts w:hint="default"/>
        <w:lang w:val="it-IT" w:eastAsia="en-US" w:bidi="ar-SA"/>
      </w:rPr>
    </w:lvl>
    <w:lvl w:ilvl="5" w:tplc="9FDC480C">
      <w:numFmt w:val="bullet"/>
      <w:lvlText w:val="•"/>
      <w:lvlJc w:val="left"/>
      <w:pPr>
        <w:ind w:left="5164" w:hanging="360"/>
      </w:pPr>
      <w:rPr>
        <w:rFonts w:hint="default"/>
        <w:lang w:val="it-IT" w:eastAsia="en-US" w:bidi="ar-SA"/>
      </w:rPr>
    </w:lvl>
    <w:lvl w:ilvl="6" w:tplc="838C279E">
      <w:numFmt w:val="bullet"/>
      <w:lvlText w:val="•"/>
      <w:lvlJc w:val="left"/>
      <w:pPr>
        <w:ind w:left="6372" w:hanging="360"/>
      </w:pPr>
      <w:rPr>
        <w:rFonts w:hint="default"/>
        <w:lang w:val="it-IT" w:eastAsia="en-US" w:bidi="ar-SA"/>
      </w:rPr>
    </w:lvl>
    <w:lvl w:ilvl="7" w:tplc="5FEC5F4C">
      <w:numFmt w:val="bullet"/>
      <w:lvlText w:val="•"/>
      <w:lvlJc w:val="left"/>
      <w:pPr>
        <w:ind w:left="7580" w:hanging="360"/>
      </w:pPr>
      <w:rPr>
        <w:rFonts w:hint="default"/>
        <w:lang w:val="it-IT" w:eastAsia="en-US" w:bidi="ar-SA"/>
      </w:rPr>
    </w:lvl>
    <w:lvl w:ilvl="8" w:tplc="45B82D16">
      <w:numFmt w:val="bullet"/>
      <w:lvlText w:val="•"/>
      <w:lvlJc w:val="left"/>
      <w:pPr>
        <w:ind w:left="8788" w:hanging="360"/>
      </w:pPr>
      <w:rPr>
        <w:rFonts w:hint="default"/>
        <w:lang w:val="it-IT" w:eastAsia="en-US" w:bidi="ar-SA"/>
      </w:rPr>
    </w:lvl>
  </w:abstractNum>
  <w:abstractNum w:abstractNumId="3" w15:restartNumberingAfterBreak="0">
    <w:nsid w:val="2CA6130A"/>
    <w:multiLevelType w:val="hybridMultilevel"/>
    <w:tmpl w:val="CB2CCD26"/>
    <w:lvl w:ilvl="0" w:tplc="BC686E2A">
      <w:start w:val="5"/>
      <w:numFmt w:val="bullet"/>
      <w:lvlText w:val=""/>
      <w:lvlJc w:val="left"/>
      <w:pPr>
        <w:ind w:left="1037" w:hanging="360"/>
      </w:pPr>
      <w:rPr>
        <w:rFonts w:ascii="Symbol" w:eastAsia="Arial MT" w:hAnsi="Symbol" w:cs="Arial MT" w:hint="default"/>
      </w:rPr>
    </w:lvl>
    <w:lvl w:ilvl="1" w:tplc="04100003" w:tentative="1">
      <w:start w:val="1"/>
      <w:numFmt w:val="bullet"/>
      <w:lvlText w:val="o"/>
      <w:lvlJc w:val="left"/>
      <w:pPr>
        <w:ind w:left="1757" w:hanging="360"/>
      </w:pPr>
      <w:rPr>
        <w:rFonts w:ascii="Courier New" w:hAnsi="Courier New" w:cs="Courier New" w:hint="default"/>
      </w:rPr>
    </w:lvl>
    <w:lvl w:ilvl="2" w:tplc="04100005" w:tentative="1">
      <w:start w:val="1"/>
      <w:numFmt w:val="bullet"/>
      <w:lvlText w:val=""/>
      <w:lvlJc w:val="left"/>
      <w:pPr>
        <w:ind w:left="2477" w:hanging="360"/>
      </w:pPr>
      <w:rPr>
        <w:rFonts w:ascii="Wingdings" w:hAnsi="Wingdings" w:hint="default"/>
      </w:rPr>
    </w:lvl>
    <w:lvl w:ilvl="3" w:tplc="04100001" w:tentative="1">
      <w:start w:val="1"/>
      <w:numFmt w:val="bullet"/>
      <w:lvlText w:val=""/>
      <w:lvlJc w:val="left"/>
      <w:pPr>
        <w:ind w:left="3197" w:hanging="360"/>
      </w:pPr>
      <w:rPr>
        <w:rFonts w:ascii="Symbol" w:hAnsi="Symbol" w:hint="default"/>
      </w:rPr>
    </w:lvl>
    <w:lvl w:ilvl="4" w:tplc="04100003" w:tentative="1">
      <w:start w:val="1"/>
      <w:numFmt w:val="bullet"/>
      <w:lvlText w:val="o"/>
      <w:lvlJc w:val="left"/>
      <w:pPr>
        <w:ind w:left="3917" w:hanging="360"/>
      </w:pPr>
      <w:rPr>
        <w:rFonts w:ascii="Courier New" w:hAnsi="Courier New" w:cs="Courier New" w:hint="default"/>
      </w:rPr>
    </w:lvl>
    <w:lvl w:ilvl="5" w:tplc="04100005" w:tentative="1">
      <w:start w:val="1"/>
      <w:numFmt w:val="bullet"/>
      <w:lvlText w:val=""/>
      <w:lvlJc w:val="left"/>
      <w:pPr>
        <w:ind w:left="4637" w:hanging="360"/>
      </w:pPr>
      <w:rPr>
        <w:rFonts w:ascii="Wingdings" w:hAnsi="Wingdings" w:hint="default"/>
      </w:rPr>
    </w:lvl>
    <w:lvl w:ilvl="6" w:tplc="04100001" w:tentative="1">
      <w:start w:val="1"/>
      <w:numFmt w:val="bullet"/>
      <w:lvlText w:val=""/>
      <w:lvlJc w:val="left"/>
      <w:pPr>
        <w:ind w:left="5357" w:hanging="360"/>
      </w:pPr>
      <w:rPr>
        <w:rFonts w:ascii="Symbol" w:hAnsi="Symbol" w:hint="default"/>
      </w:rPr>
    </w:lvl>
    <w:lvl w:ilvl="7" w:tplc="04100003" w:tentative="1">
      <w:start w:val="1"/>
      <w:numFmt w:val="bullet"/>
      <w:lvlText w:val="o"/>
      <w:lvlJc w:val="left"/>
      <w:pPr>
        <w:ind w:left="6077" w:hanging="360"/>
      </w:pPr>
      <w:rPr>
        <w:rFonts w:ascii="Courier New" w:hAnsi="Courier New" w:cs="Courier New" w:hint="default"/>
      </w:rPr>
    </w:lvl>
    <w:lvl w:ilvl="8" w:tplc="04100005" w:tentative="1">
      <w:start w:val="1"/>
      <w:numFmt w:val="bullet"/>
      <w:lvlText w:val=""/>
      <w:lvlJc w:val="left"/>
      <w:pPr>
        <w:ind w:left="6797" w:hanging="360"/>
      </w:pPr>
      <w:rPr>
        <w:rFonts w:ascii="Wingdings" w:hAnsi="Wingdings" w:hint="default"/>
      </w:rPr>
    </w:lvl>
  </w:abstractNum>
  <w:abstractNum w:abstractNumId="4" w15:restartNumberingAfterBreak="0">
    <w:nsid w:val="33F162F1"/>
    <w:multiLevelType w:val="hybridMultilevel"/>
    <w:tmpl w:val="22AC8D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2E72DAF"/>
    <w:multiLevelType w:val="hybridMultilevel"/>
    <w:tmpl w:val="8126FE8C"/>
    <w:lvl w:ilvl="0" w:tplc="07CA29E2">
      <w:numFmt w:val="bullet"/>
      <w:lvlText w:val="-"/>
      <w:lvlJc w:val="left"/>
      <w:pPr>
        <w:ind w:left="1354" w:hanging="317"/>
      </w:pPr>
      <w:rPr>
        <w:rFonts w:ascii="Times New Roman" w:eastAsia="Times New Roman" w:hAnsi="Times New Roman" w:cs="Times New Roman" w:hint="default"/>
        <w:w w:val="100"/>
        <w:sz w:val="20"/>
        <w:szCs w:val="20"/>
        <w:lang w:val="it-IT" w:eastAsia="en-US" w:bidi="ar-SA"/>
      </w:rPr>
    </w:lvl>
    <w:lvl w:ilvl="1" w:tplc="1B08542A">
      <w:numFmt w:val="bullet"/>
      <w:lvlText w:val="•"/>
      <w:lvlJc w:val="left"/>
      <w:pPr>
        <w:ind w:left="2344" w:hanging="317"/>
      </w:pPr>
      <w:rPr>
        <w:rFonts w:hint="default"/>
        <w:lang w:val="it-IT" w:eastAsia="en-US" w:bidi="ar-SA"/>
      </w:rPr>
    </w:lvl>
    <w:lvl w:ilvl="2" w:tplc="558097E8">
      <w:numFmt w:val="bullet"/>
      <w:lvlText w:val="•"/>
      <w:lvlJc w:val="left"/>
      <w:pPr>
        <w:ind w:left="3328" w:hanging="317"/>
      </w:pPr>
      <w:rPr>
        <w:rFonts w:hint="default"/>
        <w:lang w:val="it-IT" w:eastAsia="en-US" w:bidi="ar-SA"/>
      </w:rPr>
    </w:lvl>
    <w:lvl w:ilvl="3" w:tplc="189EADE2">
      <w:numFmt w:val="bullet"/>
      <w:lvlText w:val="•"/>
      <w:lvlJc w:val="left"/>
      <w:pPr>
        <w:ind w:left="4313" w:hanging="317"/>
      </w:pPr>
      <w:rPr>
        <w:rFonts w:hint="default"/>
        <w:lang w:val="it-IT" w:eastAsia="en-US" w:bidi="ar-SA"/>
      </w:rPr>
    </w:lvl>
    <w:lvl w:ilvl="4" w:tplc="5942C874">
      <w:numFmt w:val="bullet"/>
      <w:lvlText w:val="•"/>
      <w:lvlJc w:val="left"/>
      <w:pPr>
        <w:ind w:left="5297" w:hanging="317"/>
      </w:pPr>
      <w:rPr>
        <w:rFonts w:hint="default"/>
        <w:lang w:val="it-IT" w:eastAsia="en-US" w:bidi="ar-SA"/>
      </w:rPr>
    </w:lvl>
    <w:lvl w:ilvl="5" w:tplc="9F10B2CA">
      <w:numFmt w:val="bullet"/>
      <w:lvlText w:val="•"/>
      <w:lvlJc w:val="left"/>
      <w:pPr>
        <w:ind w:left="6282" w:hanging="317"/>
      </w:pPr>
      <w:rPr>
        <w:rFonts w:hint="default"/>
        <w:lang w:val="it-IT" w:eastAsia="en-US" w:bidi="ar-SA"/>
      </w:rPr>
    </w:lvl>
    <w:lvl w:ilvl="6" w:tplc="6E0C1A96">
      <w:numFmt w:val="bullet"/>
      <w:lvlText w:val="•"/>
      <w:lvlJc w:val="left"/>
      <w:pPr>
        <w:ind w:left="7266" w:hanging="317"/>
      </w:pPr>
      <w:rPr>
        <w:rFonts w:hint="default"/>
        <w:lang w:val="it-IT" w:eastAsia="en-US" w:bidi="ar-SA"/>
      </w:rPr>
    </w:lvl>
    <w:lvl w:ilvl="7" w:tplc="30128B6E">
      <w:numFmt w:val="bullet"/>
      <w:lvlText w:val="•"/>
      <w:lvlJc w:val="left"/>
      <w:pPr>
        <w:ind w:left="8250" w:hanging="317"/>
      </w:pPr>
      <w:rPr>
        <w:rFonts w:hint="default"/>
        <w:lang w:val="it-IT" w:eastAsia="en-US" w:bidi="ar-SA"/>
      </w:rPr>
    </w:lvl>
    <w:lvl w:ilvl="8" w:tplc="913647C4">
      <w:numFmt w:val="bullet"/>
      <w:lvlText w:val="•"/>
      <w:lvlJc w:val="left"/>
      <w:pPr>
        <w:ind w:left="9235" w:hanging="317"/>
      </w:pPr>
      <w:rPr>
        <w:rFonts w:hint="default"/>
        <w:lang w:val="it-IT" w:eastAsia="en-US" w:bidi="ar-SA"/>
      </w:rPr>
    </w:lvl>
  </w:abstractNum>
  <w:abstractNum w:abstractNumId="6" w15:restartNumberingAfterBreak="0">
    <w:nsid w:val="53D55D0F"/>
    <w:multiLevelType w:val="hybridMultilevel"/>
    <w:tmpl w:val="887EBF70"/>
    <w:lvl w:ilvl="0" w:tplc="D7DCCFF2">
      <w:numFmt w:val="bullet"/>
      <w:lvlText w:val="-"/>
      <w:lvlJc w:val="left"/>
      <w:pPr>
        <w:ind w:left="788" w:hanging="111"/>
      </w:pPr>
      <w:rPr>
        <w:rFonts w:ascii="Arial MT" w:eastAsia="Arial MT" w:hAnsi="Arial MT" w:cs="Arial MT" w:hint="default"/>
        <w:w w:val="101"/>
        <w:sz w:val="18"/>
        <w:szCs w:val="18"/>
        <w:lang w:val="it-IT" w:eastAsia="en-US" w:bidi="ar-SA"/>
      </w:rPr>
    </w:lvl>
    <w:lvl w:ilvl="1" w:tplc="3226592E">
      <w:numFmt w:val="bullet"/>
      <w:lvlText w:val=""/>
      <w:lvlJc w:val="left"/>
      <w:pPr>
        <w:ind w:left="1397" w:hanging="360"/>
      </w:pPr>
      <w:rPr>
        <w:rFonts w:ascii="Symbol" w:eastAsia="Symbol" w:hAnsi="Symbol" w:cs="Symbol" w:hint="default"/>
        <w:w w:val="100"/>
        <w:sz w:val="20"/>
        <w:szCs w:val="20"/>
        <w:lang w:val="it-IT" w:eastAsia="en-US" w:bidi="ar-SA"/>
      </w:rPr>
    </w:lvl>
    <w:lvl w:ilvl="2" w:tplc="C226A570">
      <w:numFmt w:val="bullet"/>
      <w:lvlText w:val="•"/>
      <w:lvlJc w:val="left"/>
      <w:pPr>
        <w:ind w:left="2489" w:hanging="360"/>
      </w:pPr>
      <w:rPr>
        <w:rFonts w:hint="default"/>
        <w:lang w:val="it-IT" w:eastAsia="en-US" w:bidi="ar-SA"/>
      </w:rPr>
    </w:lvl>
    <w:lvl w:ilvl="3" w:tplc="55BED84C">
      <w:numFmt w:val="bullet"/>
      <w:lvlText w:val="•"/>
      <w:lvlJc w:val="left"/>
      <w:pPr>
        <w:ind w:left="3578" w:hanging="360"/>
      </w:pPr>
      <w:rPr>
        <w:rFonts w:hint="default"/>
        <w:lang w:val="it-IT" w:eastAsia="en-US" w:bidi="ar-SA"/>
      </w:rPr>
    </w:lvl>
    <w:lvl w:ilvl="4" w:tplc="5E740C3E">
      <w:numFmt w:val="bullet"/>
      <w:lvlText w:val="•"/>
      <w:lvlJc w:val="left"/>
      <w:pPr>
        <w:ind w:left="4668" w:hanging="360"/>
      </w:pPr>
      <w:rPr>
        <w:rFonts w:hint="default"/>
        <w:lang w:val="it-IT" w:eastAsia="en-US" w:bidi="ar-SA"/>
      </w:rPr>
    </w:lvl>
    <w:lvl w:ilvl="5" w:tplc="FBCE9656">
      <w:numFmt w:val="bullet"/>
      <w:lvlText w:val="•"/>
      <w:lvlJc w:val="left"/>
      <w:pPr>
        <w:ind w:left="5757" w:hanging="360"/>
      </w:pPr>
      <w:rPr>
        <w:rFonts w:hint="default"/>
        <w:lang w:val="it-IT" w:eastAsia="en-US" w:bidi="ar-SA"/>
      </w:rPr>
    </w:lvl>
    <w:lvl w:ilvl="6" w:tplc="05944CB4">
      <w:numFmt w:val="bullet"/>
      <w:lvlText w:val="•"/>
      <w:lvlJc w:val="left"/>
      <w:pPr>
        <w:ind w:left="6846" w:hanging="360"/>
      </w:pPr>
      <w:rPr>
        <w:rFonts w:hint="default"/>
        <w:lang w:val="it-IT" w:eastAsia="en-US" w:bidi="ar-SA"/>
      </w:rPr>
    </w:lvl>
    <w:lvl w:ilvl="7" w:tplc="1AB849D2">
      <w:numFmt w:val="bullet"/>
      <w:lvlText w:val="•"/>
      <w:lvlJc w:val="left"/>
      <w:pPr>
        <w:ind w:left="7936" w:hanging="360"/>
      </w:pPr>
      <w:rPr>
        <w:rFonts w:hint="default"/>
        <w:lang w:val="it-IT" w:eastAsia="en-US" w:bidi="ar-SA"/>
      </w:rPr>
    </w:lvl>
    <w:lvl w:ilvl="8" w:tplc="5D8C4FD6">
      <w:numFmt w:val="bullet"/>
      <w:lvlText w:val="•"/>
      <w:lvlJc w:val="left"/>
      <w:pPr>
        <w:ind w:left="9025" w:hanging="360"/>
      </w:pPr>
      <w:rPr>
        <w:rFonts w:hint="default"/>
        <w:lang w:val="it-IT" w:eastAsia="en-US" w:bidi="ar-SA"/>
      </w:rPr>
    </w:lvl>
  </w:abstractNum>
  <w:num w:numId="1">
    <w:abstractNumId w:val="5"/>
  </w:num>
  <w:num w:numId="2">
    <w:abstractNumId w:val="6"/>
  </w:num>
  <w:num w:numId="3">
    <w:abstractNumId w:val="2"/>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CF"/>
    <w:rsid w:val="00022665"/>
    <w:rsid w:val="00042AD4"/>
    <w:rsid w:val="000642CA"/>
    <w:rsid w:val="000D15EE"/>
    <w:rsid w:val="0012073D"/>
    <w:rsid w:val="00126654"/>
    <w:rsid w:val="00130E68"/>
    <w:rsid w:val="00162631"/>
    <w:rsid w:val="0017301F"/>
    <w:rsid w:val="0018196B"/>
    <w:rsid w:val="00195B37"/>
    <w:rsid w:val="001A13CF"/>
    <w:rsid w:val="00280D16"/>
    <w:rsid w:val="00282699"/>
    <w:rsid w:val="002B72DA"/>
    <w:rsid w:val="002E3584"/>
    <w:rsid w:val="00334F3A"/>
    <w:rsid w:val="003408AB"/>
    <w:rsid w:val="00347E11"/>
    <w:rsid w:val="00365043"/>
    <w:rsid w:val="00387D26"/>
    <w:rsid w:val="003C002E"/>
    <w:rsid w:val="003D22E5"/>
    <w:rsid w:val="003D61BD"/>
    <w:rsid w:val="00420A52"/>
    <w:rsid w:val="00436E15"/>
    <w:rsid w:val="004453AD"/>
    <w:rsid w:val="00493940"/>
    <w:rsid w:val="004B084E"/>
    <w:rsid w:val="004F701E"/>
    <w:rsid w:val="005457E2"/>
    <w:rsid w:val="00567A7F"/>
    <w:rsid w:val="005773FF"/>
    <w:rsid w:val="005F4ADE"/>
    <w:rsid w:val="00615CDE"/>
    <w:rsid w:val="00622E03"/>
    <w:rsid w:val="00634C2D"/>
    <w:rsid w:val="006518A3"/>
    <w:rsid w:val="0065571F"/>
    <w:rsid w:val="00655DBC"/>
    <w:rsid w:val="006634EA"/>
    <w:rsid w:val="006F2FEC"/>
    <w:rsid w:val="007010A1"/>
    <w:rsid w:val="00752818"/>
    <w:rsid w:val="00752FDF"/>
    <w:rsid w:val="007556FD"/>
    <w:rsid w:val="0075729A"/>
    <w:rsid w:val="00765DFD"/>
    <w:rsid w:val="007E30D4"/>
    <w:rsid w:val="007F345D"/>
    <w:rsid w:val="0080604D"/>
    <w:rsid w:val="00820CE5"/>
    <w:rsid w:val="00850FCF"/>
    <w:rsid w:val="00871B99"/>
    <w:rsid w:val="00890A7D"/>
    <w:rsid w:val="008B6692"/>
    <w:rsid w:val="008E1EFA"/>
    <w:rsid w:val="0093692F"/>
    <w:rsid w:val="00952C78"/>
    <w:rsid w:val="00981475"/>
    <w:rsid w:val="009A2819"/>
    <w:rsid w:val="009D7886"/>
    <w:rsid w:val="009F6B91"/>
    <w:rsid w:val="00A578CF"/>
    <w:rsid w:val="00A631C6"/>
    <w:rsid w:val="00A90DDA"/>
    <w:rsid w:val="00AB66A6"/>
    <w:rsid w:val="00B2440B"/>
    <w:rsid w:val="00B368B3"/>
    <w:rsid w:val="00BB3813"/>
    <w:rsid w:val="00BB56C6"/>
    <w:rsid w:val="00C173D1"/>
    <w:rsid w:val="00C416E2"/>
    <w:rsid w:val="00C54F0B"/>
    <w:rsid w:val="00C668AB"/>
    <w:rsid w:val="00CA7CA3"/>
    <w:rsid w:val="00CD5106"/>
    <w:rsid w:val="00CE28AB"/>
    <w:rsid w:val="00D53CCA"/>
    <w:rsid w:val="00E047B4"/>
    <w:rsid w:val="00E410B6"/>
    <w:rsid w:val="00EA56B3"/>
    <w:rsid w:val="00EF5C89"/>
    <w:rsid w:val="00FC3182"/>
    <w:rsid w:val="00FE028D"/>
    <w:rsid w:val="00FE67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A461B661-5265-4F3C-8CA9-16105500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spacing w:before="68"/>
      <w:ind w:right="461"/>
      <w:jc w:val="right"/>
      <w:outlineLvl w:val="0"/>
    </w:pPr>
    <w:rPr>
      <w:rFonts w:ascii="Arial" w:eastAsia="Arial" w:hAnsi="Arial" w:cs="Arial"/>
      <w:b/>
      <w:bCs/>
      <w:sz w:val="21"/>
      <w:szCs w:val="21"/>
      <w:u w:val="single" w:color="000000"/>
    </w:rPr>
  </w:style>
  <w:style w:type="paragraph" w:styleId="Titolo2">
    <w:name w:val="heading 2"/>
    <w:basedOn w:val="Normale"/>
    <w:uiPriority w:val="9"/>
    <w:unhideWhenUsed/>
    <w:qFormat/>
    <w:pPr>
      <w:ind w:left="1397"/>
      <w:jc w:val="both"/>
      <w:outlineLvl w:val="1"/>
    </w:pPr>
    <w:rPr>
      <w:rFonts w:ascii="Arial" w:eastAsia="Arial" w:hAnsi="Arial" w:cs="Arial"/>
      <w:b/>
      <w:bCs/>
      <w:sz w:val="20"/>
      <w:szCs w:val="20"/>
    </w:rPr>
  </w:style>
  <w:style w:type="paragraph" w:styleId="Titolo3">
    <w:name w:val="heading 3"/>
    <w:basedOn w:val="Normale"/>
    <w:uiPriority w:val="9"/>
    <w:unhideWhenUsed/>
    <w:qFormat/>
    <w:pPr>
      <w:ind w:left="1070" w:right="869"/>
      <w:jc w:val="center"/>
      <w:outlineLvl w:val="2"/>
    </w:pPr>
    <w:rPr>
      <w:rFonts w:ascii="Arial" w:eastAsia="Arial" w:hAnsi="Arial" w:cs="Arial"/>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Times New Roman" w:eastAsia="Times New Roman" w:hAnsi="Times New Roman" w:cs="Times New Roman"/>
      <w:sz w:val="20"/>
      <w:szCs w:val="20"/>
    </w:rPr>
  </w:style>
  <w:style w:type="paragraph" w:styleId="Paragrafoelenco">
    <w:name w:val="List Paragraph"/>
    <w:basedOn w:val="Normale"/>
    <w:uiPriority w:val="1"/>
    <w:qFormat/>
    <w:pPr>
      <w:ind w:left="1397" w:hanging="360"/>
      <w:jc w:val="both"/>
    </w:pPr>
    <w:rPr>
      <w:rFonts w:ascii="Times New Roman" w:eastAsia="Times New Roman" w:hAnsi="Times New Roman" w:cs="Times New Roman"/>
    </w:r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8E1EFA"/>
    <w:rPr>
      <w:color w:val="0000FF"/>
      <w:u w:val="single"/>
      <w:shd w:val="clear" w:color="auto" w:fill="auto"/>
    </w:rPr>
  </w:style>
  <w:style w:type="character" w:styleId="Menzionenonrisolta">
    <w:name w:val="Unresolved Mention"/>
    <w:basedOn w:val="Carpredefinitoparagrafo"/>
    <w:uiPriority w:val="99"/>
    <w:semiHidden/>
    <w:unhideWhenUsed/>
    <w:rsid w:val="008E1EFA"/>
    <w:rPr>
      <w:color w:val="605E5C"/>
      <w:shd w:val="clear" w:color="auto" w:fill="E1DFDD"/>
    </w:rPr>
  </w:style>
  <w:style w:type="paragraph" w:styleId="Intestazione">
    <w:name w:val="header"/>
    <w:basedOn w:val="Normale"/>
    <w:link w:val="IntestazioneCarattere"/>
    <w:uiPriority w:val="99"/>
    <w:unhideWhenUsed/>
    <w:rsid w:val="008E1EFA"/>
    <w:pPr>
      <w:tabs>
        <w:tab w:val="center" w:pos="4819"/>
        <w:tab w:val="right" w:pos="9638"/>
      </w:tabs>
    </w:pPr>
  </w:style>
  <w:style w:type="character" w:customStyle="1" w:styleId="IntestazioneCarattere">
    <w:name w:val="Intestazione Carattere"/>
    <w:basedOn w:val="Carpredefinitoparagrafo"/>
    <w:link w:val="Intestazione"/>
    <w:uiPriority w:val="99"/>
    <w:rsid w:val="008E1EFA"/>
    <w:rPr>
      <w:rFonts w:ascii="Arial MT" w:eastAsia="Arial MT" w:hAnsi="Arial MT" w:cs="Arial MT"/>
      <w:lang w:val="it-IT"/>
    </w:rPr>
  </w:style>
  <w:style w:type="paragraph" w:styleId="Pidipagina">
    <w:name w:val="footer"/>
    <w:basedOn w:val="Normale"/>
    <w:link w:val="PidipaginaCarattere"/>
    <w:uiPriority w:val="99"/>
    <w:unhideWhenUsed/>
    <w:rsid w:val="008E1EFA"/>
    <w:pPr>
      <w:tabs>
        <w:tab w:val="center" w:pos="4819"/>
        <w:tab w:val="right" w:pos="9638"/>
      </w:tabs>
    </w:pPr>
  </w:style>
  <w:style w:type="character" w:customStyle="1" w:styleId="PidipaginaCarattere">
    <w:name w:val="Piè di pagina Carattere"/>
    <w:basedOn w:val="Carpredefinitoparagrafo"/>
    <w:link w:val="Pidipagina"/>
    <w:uiPriority w:val="99"/>
    <w:rsid w:val="008E1EFA"/>
    <w:rPr>
      <w:rFonts w:ascii="Arial MT" w:eastAsia="Arial MT" w:hAnsi="Arial MT" w:cs="Arial MT"/>
      <w:lang w:val="it-IT"/>
    </w:rPr>
  </w:style>
  <w:style w:type="character" w:styleId="Collegamentovisitato">
    <w:name w:val="FollowedHyperlink"/>
    <w:basedOn w:val="Carpredefinitoparagrafo"/>
    <w:uiPriority w:val="99"/>
    <w:semiHidden/>
    <w:unhideWhenUsed/>
    <w:rsid w:val="00A90DDA"/>
    <w:rPr>
      <w:color w:val="800080" w:themeColor="followedHyperlink"/>
      <w:u w:val="single"/>
    </w:rPr>
  </w:style>
  <w:style w:type="paragraph" w:styleId="Titolo">
    <w:name w:val="Title"/>
    <w:basedOn w:val="Normale"/>
    <w:link w:val="TitoloCarattere"/>
    <w:uiPriority w:val="10"/>
    <w:qFormat/>
    <w:rsid w:val="009F6B91"/>
    <w:pPr>
      <w:spacing w:before="79"/>
      <w:ind w:left="30"/>
      <w:jc w:val="center"/>
    </w:pPr>
    <w:rPr>
      <w:rFonts w:ascii="Verdana" w:eastAsia="Verdana" w:hAnsi="Verdana" w:cs="Verdana"/>
      <w:sz w:val="36"/>
      <w:szCs w:val="36"/>
    </w:rPr>
  </w:style>
  <w:style w:type="character" w:customStyle="1" w:styleId="TitoloCarattere">
    <w:name w:val="Titolo Carattere"/>
    <w:basedOn w:val="Carpredefinitoparagrafo"/>
    <w:link w:val="Titolo"/>
    <w:uiPriority w:val="10"/>
    <w:rsid w:val="009F6B91"/>
    <w:rPr>
      <w:rFonts w:ascii="Verdana" w:eastAsia="Verdana" w:hAnsi="Verdana" w:cs="Verdana"/>
      <w:sz w:val="36"/>
      <w:szCs w:val="3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1177</Words>
  <Characters>6714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Domanda contributo amianto 2026</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contributo amianto 2026</dc:title>
  <dc:subject>Provincia del Medio Campidano - modulistica e informativa privacy</dc:subject>
  <dc:creator>Provincia del Medio Campidano</dc:creator>
  <cp:lastModifiedBy>Gianfranco Mulas</cp:lastModifiedBy>
  <cp:revision>3</cp:revision>
  <cp:lastPrinted>2024-05-16T12:32:00Z</cp:lastPrinted>
  <dcterms:created xsi:type="dcterms:W3CDTF">2026-07-12T14:44:00Z</dcterms:created>
  <dcterms:modified xsi:type="dcterms:W3CDTF">2026-07-12T14:44:00Z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LastSaved">
    <vt:filetime>2021-11-11T00:00:00Z</vt:filetime>
  </property>
</Properties>
</file>